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EA" w:rsidRDefault="00D405EA" w:rsidP="00BD6006">
      <w:pPr>
        <w:tabs>
          <w:tab w:val="left" w:pos="360"/>
          <w:tab w:val="left" w:pos="720"/>
        </w:tabs>
        <w:autoSpaceDE w:val="0"/>
        <w:autoSpaceDN w:val="0"/>
        <w:adjustRightInd w:val="0"/>
        <w:spacing w:line="240" w:lineRule="auto"/>
        <w:rPr>
          <w:rFonts w:cs="TimesNewRomanPSMT"/>
        </w:rPr>
      </w:pPr>
      <w:r>
        <w:rPr>
          <w:rFonts w:cs="TimesNewRomanPSMT"/>
        </w:rPr>
        <w:t>CURR 440: Teaching Reading in the Content Areas</w:t>
      </w:r>
    </w:p>
    <w:p w:rsidR="00D405EA" w:rsidRDefault="00D405EA" w:rsidP="00BD6006">
      <w:pPr>
        <w:tabs>
          <w:tab w:val="left" w:pos="360"/>
          <w:tab w:val="left" w:pos="720"/>
        </w:tabs>
        <w:autoSpaceDE w:val="0"/>
        <w:autoSpaceDN w:val="0"/>
        <w:adjustRightInd w:val="0"/>
        <w:spacing w:line="240" w:lineRule="auto"/>
        <w:rPr>
          <w:rFonts w:cs="TimesNewRomanPSMT"/>
        </w:rPr>
      </w:pPr>
    </w:p>
    <w:p w:rsidR="00D405EA" w:rsidRDefault="00D405EA" w:rsidP="00BD6006">
      <w:pPr>
        <w:tabs>
          <w:tab w:val="left" w:pos="360"/>
          <w:tab w:val="left" w:pos="720"/>
        </w:tabs>
        <w:autoSpaceDE w:val="0"/>
        <w:autoSpaceDN w:val="0"/>
        <w:adjustRightInd w:val="0"/>
        <w:spacing w:line="240" w:lineRule="auto"/>
        <w:jc w:val="center"/>
        <w:rPr>
          <w:rFonts w:cs="TimesNewRomanPSMT"/>
        </w:rPr>
      </w:pPr>
      <w:r>
        <w:rPr>
          <w:rFonts w:cs="TimesNewRomanPSMT"/>
        </w:rPr>
        <w:t xml:space="preserve">Menu of </w:t>
      </w:r>
      <w:r w:rsidR="00A240A8">
        <w:rPr>
          <w:rFonts w:cs="TimesNewRomanPSMT"/>
        </w:rPr>
        <w:t xml:space="preserve">Cross-Curricular </w:t>
      </w:r>
      <w:r>
        <w:rPr>
          <w:rFonts w:cs="TimesNewRomanPSMT"/>
        </w:rPr>
        <w:t>Literary-Enhancing Activities &amp; Techniques</w:t>
      </w:r>
    </w:p>
    <w:p w:rsidR="00D405EA" w:rsidRDefault="00D405EA" w:rsidP="00BD6006">
      <w:pPr>
        <w:tabs>
          <w:tab w:val="left" w:pos="360"/>
          <w:tab w:val="left" w:pos="720"/>
        </w:tabs>
        <w:rPr>
          <w:rFonts w:cs="TimesNewRomanPSMT"/>
        </w:rPr>
      </w:pPr>
    </w:p>
    <w:p w:rsidR="00D405EA" w:rsidRDefault="00D405EA" w:rsidP="00BD6006">
      <w:pPr>
        <w:tabs>
          <w:tab w:val="left" w:pos="360"/>
          <w:tab w:val="left" w:pos="720"/>
        </w:tabs>
        <w:spacing w:line="240" w:lineRule="auto"/>
        <w:rPr>
          <w:rFonts w:eastAsia="Times New Roman" w:cs="Arial"/>
          <w:color w:val="000000"/>
        </w:rPr>
      </w:pPr>
    </w:p>
    <w:p w:rsidR="008B0FFE" w:rsidRPr="00061AC4" w:rsidRDefault="008B0FFE" w:rsidP="00BD6006">
      <w:pPr>
        <w:tabs>
          <w:tab w:val="left" w:pos="360"/>
          <w:tab w:val="left" w:pos="720"/>
        </w:tabs>
        <w:spacing w:line="240" w:lineRule="auto"/>
        <w:rPr>
          <w:rFonts w:eastAsia="Times New Roman" w:cs="Times New Roman"/>
          <w:b/>
        </w:rPr>
      </w:pPr>
      <w:r w:rsidRPr="00061AC4">
        <w:rPr>
          <w:rFonts w:eastAsia="Times New Roman" w:cs="Arial"/>
          <w:b/>
          <w:color w:val="000000"/>
        </w:rPr>
        <w:t>1. Exit Tickets</w:t>
      </w:r>
    </w:p>
    <w:p w:rsidR="00467DC5" w:rsidRDefault="00082A97" w:rsidP="00082A97">
      <w:pPr>
        <w:tabs>
          <w:tab w:val="left" w:pos="360"/>
          <w:tab w:val="left" w:pos="720"/>
        </w:tabs>
        <w:spacing w:line="240" w:lineRule="auto"/>
        <w:rPr>
          <w:rFonts w:eastAsia="Times New Roman" w:cs="Arial"/>
          <w:color w:val="000000"/>
        </w:rPr>
      </w:pPr>
      <w:r>
        <w:rPr>
          <w:rFonts w:eastAsia="Times New Roman" w:cs="Arial"/>
          <w:color w:val="000000"/>
        </w:rPr>
        <w:tab/>
      </w:r>
      <w:r w:rsidR="008B0FFE" w:rsidRPr="00D405EA">
        <w:rPr>
          <w:rFonts w:eastAsia="Times New Roman" w:cs="Arial"/>
          <w:color w:val="000000"/>
        </w:rPr>
        <w:t xml:space="preserve">Exit tickets will be used at the end of both Social Studies </w:t>
      </w:r>
      <w:r w:rsidR="005C7E4D">
        <w:rPr>
          <w:rFonts w:eastAsia="Times New Roman" w:cs="Arial"/>
          <w:color w:val="000000"/>
        </w:rPr>
        <w:t>and English l</w:t>
      </w:r>
      <w:r>
        <w:rPr>
          <w:rFonts w:eastAsia="Times New Roman" w:cs="Arial"/>
          <w:color w:val="000000"/>
        </w:rPr>
        <w:t xml:space="preserve">essons as both a wrap-up </w:t>
      </w:r>
      <w:r w:rsidR="005C7E4D">
        <w:rPr>
          <w:rFonts w:eastAsia="Times New Roman" w:cs="Arial"/>
          <w:color w:val="000000"/>
        </w:rPr>
        <w:t>writing exercise and as a</w:t>
      </w:r>
      <w:r w:rsidR="009603AF">
        <w:rPr>
          <w:rFonts w:eastAsia="Times New Roman" w:cs="Arial"/>
          <w:color w:val="000000"/>
        </w:rPr>
        <w:t>n</w:t>
      </w:r>
      <w:r w:rsidR="005C7E4D">
        <w:rPr>
          <w:rFonts w:eastAsia="Times New Roman" w:cs="Arial"/>
          <w:color w:val="000000"/>
        </w:rPr>
        <w:t xml:space="preserve"> informal, quick way to assess student learning in the lessons. </w:t>
      </w:r>
      <w:r w:rsidR="008B0FFE" w:rsidRPr="00D405EA">
        <w:rPr>
          <w:rFonts w:eastAsia="Times New Roman" w:cs="Arial"/>
          <w:color w:val="000000"/>
        </w:rPr>
        <w:t xml:space="preserve">For the exit ticket, the teacher will ask the students a question </w:t>
      </w:r>
      <w:r w:rsidR="005C7E4D">
        <w:rPr>
          <w:rFonts w:eastAsia="Times New Roman" w:cs="Arial"/>
          <w:color w:val="000000"/>
        </w:rPr>
        <w:t>grounded in the main idea or key concept of the lesson</w:t>
      </w:r>
      <w:r w:rsidR="008B0FFE" w:rsidRPr="00D405EA">
        <w:rPr>
          <w:rFonts w:eastAsia="Times New Roman" w:cs="Arial"/>
          <w:color w:val="000000"/>
        </w:rPr>
        <w:t xml:space="preserve">, and the students will write the answer to this question on </w:t>
      </w:r>
      <w:r w:rsidR="005C7E4D">
        <w:rPr>
          <w:rFonts w:eastAsia="Times New Roman" w:cs="Arial"/>
          <w:color w:val="000000"/>
        </w:rPr>
        <w:t>a sheet of loose-leaf</w:t>
      </w:r>
      <w:r w:rsidR="008B0FFE" w:rsidRPr="00D405EA">
        <w:rPr>
          <w:rFonts w:eastAsia="Times New Roman" w:cs="Arial"/>
          <w:color w:val="000000"/>
        </w:rPr>
        <w:t xml:space="preserve">. </w:t>
      </w:r>
      <w:r w:rsidR="009603AF">
        <w:rPr>
          <w:rFonts w:eastAsia="Times New Roman" w:cs="Arial"/>
          <w:color w:val="000000"/>
        </w:rPr>
        <w:t xml:space="preserve">Typically, it will require a paragraph response. The exit tickets </w:t>
      </w:r>
      <w:r w:rsidR="008B0FFE" w:rsidRPr="00D405EA">
        <w:rPr>
          <w:rFonts w:eastAsia="Times New Roman" w:cs="Arial"/>
          <w:color w:val="000000"/>
        </w:rPr>
        <w:t xml:space="preserve">will be the student’s ticket out the door, and can be used by the teacher </w:t>
      </w:r>
      <w:r w:rsidR="00EC3BD0">
        <w:rPr>
          <w:rFonts w:eastAsia="Times New Roman" w:cs="Arial"/>
          <w:color w:val="000000"/>
        </w:rPr>
        <w:t xml:space="preserve">to inform instruction, </w:t>
      </w:r>
      <w:r w:rsidR="00DE49DC">
        <w:rPr>
          <w:rFonts w:eastAsia="Times New Roman" w:cs="Arial"/>
          <w:color w:val="000000"/>
        </w:rPr>
        <w:t>enabling him/her to compare</w:t>
      </w:r>
      <w:r w:rsidR="00EC3BD0">
        <w:rPr>
          <w:rFonts w:eastAsia="Times New Roman" w:cs="Arial"/>
          <w:color w:val="000000"/>
        </w:rPr>
        <w:t xml:space="preserve"> what was learned to what students still</w:t>
      </w:r>
      <w:r w:rsidR="00DE49DC">
        <w:rPr>
          <w:rFonts w:eastAsia="Times New Roman" w:cs="Arial"/>
          <w:color w:val="000000"/>
        </w:rPr>
        <w:t xml:space="preserve"> seem unsure of confused about. Confusions evident in the exit tickets can be incorporated into the following day’s “Do Now” activity/prompt. </w:t>
      </w:r>
      <w:r w:rsidR="007C7FBF">
        <w:rPr>
          <w:rFonts w:eastAsia="Times New Roman" w:cs="Arial"/>
          <w:color w:val="000000"/>
        </w:rPr>
        <w:t xml:space="preserve">Especially for the English classroom, many times the </w:t>
      </w:r>
      <w:r w:rsidR="00E540F0">
        <w:rPr>
          <w:rFonts w:eastAsia="Times New Roman" w:cs="Arial"/>
          <w:color w:val="000000"/>
        </w:rPr>
        <w:t xml:space="preserve">exit ticket </w:t>
      </w:r>
      <w:r w:rsidR="007C7FBF">
        <w:rPr>
          <w:rFonts w:eastAsia="Times New Roman" w:cs="Arial"/>
          <w:color w:val="000000"/>
        </w:rPr>
        <w:t xml:space="preserve">will </w:t>
      </w:r>
      <w:r w:rsidR="00E540F0">
        <w:rPr>
          <w:rFonts w:eastAsia="Times New Roman" w:cs="Arial"/>
          <w:color w:val="000000"/>
        </w:rPr>
        <w:t>not adhere to its usual brevity. They will be ext</w:t>
      </w:r>
      <w:r w:rsidR="00061AC4">
        <w:rPr>
          <w:rFonts w:eastAsia="Times New Roman" w:cs="Arial"/>
          <w:color w:val="000000"/>
        </w:rPr>
        <w:t>ension prompts that will start</w:t>
      </w:r>
      <w:r w:rsidR="00E540F0">
        <w:rPr>
          <w:rFonts w:eastAsia="Times New Roman" w:cs="Arial"/>
          <w:color w:val="000000"/>
        </w:rPr>
        <w:t xml:space="preserve"> at t</w:t>
      </w:r>
      <w:r w:rsidR="00061AC4">
        <w:rPr>
          <w:rFonts w:eastAsia="Times New Roman" w:cs="Arial"/>
          <w:color w:val="000000"/>
        </w:rPr>
        <w:t>he end of class but then carry</w:t>
      </w:r>
      <w:r w:rsidR="00E540F0">
        <w:rPr>
          <w:rFonts w:eastAsia="Times New Roman" w:cs="Arial"/>
          <w:color w:val="000000"/>
        </w:rPr>
        <w:t xml:space="preserve"> into their homework. For example, on Day 3 of the English unit, students are asked to compare and contrast Dr. King’s “I Have a Dream” speech with Javon Johnson’s “</w:t>
      </w:r>
      <w:proofErr w:type="spellStart"/>
      <w:r w:rsidR="00E540F0">
        <w:rPr>
          <w:rFonts w:eastAsia="Times New Roman" w:cs="Arial"/>
          <w:color w:val="000000"/>
        </w:rPr>
        <w:t>Cuz</w:t>
      </w:r>
      <w:proofErr w:type="spellEnd"/>
      <w:r w:rsidR="00E540F0">
        <w:rPr>
          <w:rFonts w:eastAsia="Times New Roman" w:cs="Arial"/>
          <w:color w:val="000000"/>
        </w:rPr>
        <w:t xml:space="preserve"> He’s Black” poem in an exit ticket that will require more than the last ten minutes of class. </w:t>
      </w:r>
    </w:p>
    <w:p w:rsidR="00E540F0" w:rsidRDefault="00E540F0" w:rsidP="00BD6006">
      <w:pPr>
        <w:tabs>
          <w:tab w:val="left" w:pos="360"/>
          <w:tab w:val="left" w:pos="720"/>
        </w:tabs>
        <w:spacing w:line="240" w:lineRule="auto"/>
        <w:rPr>
          <w:rFonts w:eastAsia="Times New Roman" w:cs="Arial"/>
          <w:color w:val="000000"/>
        </w:rPr>
      </w:pPr>
    </w:p>
    <w:p w:rsidR="000246EF" w:rsidRDefault="000246EF" w:rsidP="000246EF">
      <w:pPr>
        <w:tabs>
          <w:tab w:val="left" w:pos="360"/>
          <w:tab w:val="left" w:pos="720"/>
        </w:tabs>
        <w:spacing w:line="240" w:lineRule="auto"/>
        <w:ind w:left="720" w:hanging="720"/>
        <w:rPr>
          <w:rFonts w:eastAsia="Times New Roman" w:cs="Arial"/>
          <w:color w:val="000000"/>
        </w:rPr>
      </w:pPr>
      <w:proofErr w:type="gramStart"/>
      <w:r>
        <w:t xml:space="preserve">Fisher, D., </w:t>
      </w:r>
      <w:proofErr w:type="spellStart"/>
      <w:r>
        <w:t>Brozo</w:t>
      </w:r>
      <w:proofErr w:type="spellEnd"/>
      <w:r>
        <w:t>, W. G., Frey, N., &amp; Ivey, G. (2011).</w:t>
      </w:r>
      <w:proofErr w:type="gramEnd"/>
      <w:r>
        <w:t xml:space="preserve"> 8: Exit slips. In </w:t>
      </w:r>
      <w:r>
        <w:rPr>
          <w:rStyle w:val="Emphasis"/>
        </w:rPr>
        <w:t xml:space="preserve">50 Instructional Routines to Develop Content Literacy </w:t>
      </w:r>
      <w:r>
        <w:t xml:space="preserve">(2nd </w:t>
      </w:r>
      <w:proofErr w:type="gramStart"/>
      <w:r>
        <w:t>ed</w:t>
      </w:r>
      <w:proofErr w:type="gramEnd"/>
      <w:r>
        <w:t>.) (pp. 27-28). Boston, MA: Pearson Education, Inc.</w:t>
      </w:r>
    </w:p>
    <w:p w:rsidR="000246EF" w:rsidRDefault="000246EF" w:rsidP="00BD6006">
      <w:pPr>
        <w:tabs>
          <w:tab w:val="left" w:pos="360"/>
          <w:tab w:val="left" w:pos="720"/>
        </w:tabs>
        <w:spacing w:line="240" w:lineRule="auto"/>
        <w:rPr>
          <w:rFonts w:eastAsia="Times New Roman" w:cs="Arial"/>
          <w:color w:val="000000"/>
        </w:rPr>
      </w:pPr>
    </w:p>
    <w:p w:rsidR="00FA4985" w:rsidRDefault="00FA4985" w:rsidP="00BD6006">
      <w:pPr>
        <w:tabs>
          <w:tab w:val="left" w:pos="360"/>
          <w:tab w:val="left" w:pos="720"/>
        </w:tabs>
        <w:spacing w:line="240" w:lineRule="auto"/>
        <w:rPr>
          <w:rFonts w:eastAsia="Times New Roman" w:cs="Arial"/>
          <w:color w:val="000000"/>
        </w:rPr>
      </w:pPr>
    </w:p>
    <w:p w:rsidR="008B0FFE" w:rsidRPr="00061AC4" w:rsidRDefault="008B0FFE" w:rsidP="00BD6006">
      <w:pPr>
        <w:tabs>
          <w:tab w:val="left" w:pos="360"/>
          <w:tab w:val="left" w:pos="720"/>
        </w:tabs>
        <w:spacing w:line="240" w:lineRule="auto"/>
        <w:rPr>
          <w:rFonts w:eastAsia="Times New Roman" w:cs="Times New Roman"/>
          <w:b/>
        </w:rPr>
      </w:pPr>
      <w:r w:rsidRPr="00061AC4">
        <w:rPr>
          <w:rFonts w:eastAsia="Times New Roman" w:cs="Arial"/>
          <w:b/>
          <w:color w:val="000000"/>
        </w:rPr>
        <w:t>2. Four-Square Vocabulary Cards</w:t>
      </w:r>
    </w:p>
    <w:p w:rsidR="008B0FFE" w:rsidRDefault="00BD6006" w:rsidP="00BD6006">
      <w:pPr>
        <w:tabs>
          <w:tab w:val="left" w:pos="360"/>
          <w:tab w:val="left" w:pos="720"/>
        </w:tabs>
        <w:spacing w:line="240" w:lineRule="auto"/>
        <w:rPr>
          <w:rFonts w:eastAsia="Times New Roman" w:cs="Arial"/>
          <w:color w:val="000000"/>
        </w:rPr>
      </w:pPr>
      <w:r>
        <w:rPr>
          <w:rFonts w:eastAsia="Times New Roman" w:cs="Arial"/>
          <w:color w:val="000000"/>
        </w:rPr>
        <w:tab/>
      </w:r>
      <w:r w:rsidR="009D0497">
        <w:rPr>
          <w:rFonts w:eastAsia="Times New Roman" w:cs="Arial"/>
          <w:color w:val="000000"/>
        </w:rPr>
        <w:t xml:space="preserve">On the parallel English and social studies days that address modern-day racism, students will complete one four-square vocabulary card in each lesson. Both days address “white privilege” and “racial profiling,” but each lesson emphasizes one more than the other. Therefore, students will design a vocabulary card for the more prominent term in each lesson – as it will be easier to derive from that lesson – and bring that </w:t>
      </w:r>
      <w:r w:rsidR="00E2179B">
        <w:rPr>
          <w:rFonts w:eastAsia="Times New Roman" w:cs="Arial"/>
          <w:color w:val="000000"/>
        </w:rPr>
        <w:t>vocabulary card</w:t>
      </w:r>
      <w:r w:rsidR="009D0497">
        <w:rPr>
          <w:rFonts w:eastAsia="Times New Roman" w:cs="Arial"/>
          <w:color w:val="000000"/>
        </w:rPr>
        <w:t xml:space="preserve"> to the parallel class in the other content area where they will be better able to understand how that term is implied</w:t>
      </w:r>
      <w:r w:rsidR="00E2179B">
        <w:rPr>
          <w:rFonts w:eastAsia="Times New Roman" w:cs="Arial"/>
          <w:color w:val="000000"/>
        </w:rPr>
        <w:t xml:space="preserve"> (rather than directly addressed</w:t>
      </w:r>
      <w:r w:rsidR="009D0497">
        <w:rPr>
          <w:rFonts w:eastAsia="Times New Roman" w:cs="Arial"/>
          <w:color w:val="000000"/>
        </w:rPr>
        <w:t xml:space="preserve"> as it was in the lesson where they devised the vocabulary card</w:t>
      </w:r>
      <w:r w:rsidR="00E2179B">
        <w:rPr>
          <w:rFonts w:eastAsia="Times New Roman" w:cs="Arial"/>
          <w:color w:val="000000"/>
        </w:rPr>
        <w:t>)</w:t>
      </w:r>
      <w:r w:rsidR="009D0497">
        <w:rPr>
          <w:rFonts w:eastAsia="Times New Roman" w:cs="Arial"/>
          <w:color w:val="000000"/>
        </w:rPr>
        <w:t xml:space="preserve">. </w:t>
      </w:r>
      <w:r w:rsidR="005C2754">
        <w:rPr>
          <w:rFonts w:eastAsia="Times New Roman" w:cs="Arial"/>
          <w:color w:val="000000"/>
        </w:rPr>
        <w:t>I</w:t>
      </w:r>
      <w:r w:rsidR="00B66FAC">
        <w:rPr>
          <w:rFonts w:eastAsia="Times New Roman" w:cs="Arial"/>
          <w:color w:val="000000"/>
        </w:rPr>
        <w:t>n a slightly adapted format from</w:t>
      </w:r>
      <w:r w:rsidR="005C2754">
        <w:rPr>
          <w:rFonts w:eastAsia="Times New Roman" w:cs="Arial"/>
          <w:color w:val="000000"/>
        </w:rPr>
        <w:t xml:space="preserve"> </w:t>
      </w:r>
      <w:r w:rsidR="00B66FAC">
        <w:rPr>
          <w:rFonts w:eastAsia="Times New Roman" w:cs="Arial"/>
          <w:color w:val="000000"/>
        </w:rPr>
        <w:t xml:space="preserve">what </w:t>
      </w:r>
      <w:r w:rsidR="005C2754">
        <w:rPr>
          <w:rFonts w:eastAsia="Times New Roman" w:cs="Arial"/>
          <w:color w:val="000000"/>
        </w:rPr>
        <w:t xml:space="preserve">the textbook outlines, the four-square vocabulary cards will include the word, the definition, a contextual sentence, and an illustration. </w:t>
      </w:r>
      <w:r w:rsidR="00B66FAC">
        <w:rPr>
          <w:rFonts w:eastAsia="Times New Roman" w:cs="Arial"/>
          <w:color w:val="000000"/>
        </w:rPr>
        <w:t xml:space="preserve"> Having students manipulate and work with the word in several ways will make students reflect on the word longer and </w:t>
      </w:r>
      <w:r w:rsidR="001E0CB2">
        <w:rPr>
          <w:rFonts w:eastAsia="Times New Roman" w:cs="Arial"/>
          <w:color w:val="000000"/>
        </w:rPr>
        <w:t xml:space="preserve">in </w:t>
      </w:r>
      <w:r w:rsidR="00B66FAC">
        <w:rPr>
          <w:rFonts w:eastAsia="Times New Roman" w:cs="Arial"/>
          <w:color w:val="000000"/>
        </w:rPr>
        <w:t xml:space="preserve">more </w:t>
      </w:r>
      <w:r w:rsidR="001E0CB2">
        <w:rPr>
          <w:rFonts w:eastAsia="Times New Roman" w:cs="Arial"/>
          <w:color w:val="000000"/>
        </w:rPr>
        <w:t>meaningful ways (not in isolation or out-of-context).</w:t>
      </w:r>
    </w:p>
    <w:p w:rsidR="00061AC4" w:rsidRDefault="00061AC4" w:rsidP="00BD6006">
      <w:pPr>
        <w:tabs>
          <w:tab w:val="left" w:pos="360"/>
          <w:tab w:val="left" w:pos="720"/>
        </w:tabs>
        <w:spacing w:line="240" w:lineRule="auto"/>
        <w:rPr>
          <w:rFonts w:eastAsia="Times New Roman" w:cs="Arial"/>
          <w:color w:val="000000"/>
        </w:rPr>
      </w:pPr>
    </w:p>
    <w:p w:rsidR="000246EF" w:rsidRDefault="000246EF" w:rsidP="00061AC4">
      <w:pPr>
        <w:tabs>
          <w:tab w:val="left" w:pos="360"/>
          <w:tab w:val="left" w:pos="720"/>
        </w:tabs>
        <w:spacing w:line="240" w:lineRule="auto"/>
        <w:ind w:left="720" w:hanging="720"/>
        <w:rPr>
          <w:rFonts w:eastAsia="Times New Roman" w:cs="Arial"/>
          <w:color w:val="000000"/>
        </w:rPr>
      </w:pPr>
      <w:proofErr w:type="gramStart"/>
      <w:r>
        <w:t xml:space="preserve">Fisher, D., </w:t>
      </w:r>
      <w:proofErr w:type="spellStart"/>
      <w:r>
        <w:t>Brozo</w:t>
      </w:r>
      <w:proofErr w:type="spellEnd"/>
      <w:r>
        <w:t>, W. G., Frey, N., &amp; Ivey, G. (2011).</w:t>
      </w:r>
      <w:proofErr w:type="gramEnd"/>
      <w:r>
        <w:t xml:space="preserve"> 45: Vocabulary Cards. In </w:t>
      </w:r>
      <w:r>
        <w:rPr>
          <w:rStyle w:val="Emphasis"/>
        </w:rPr>
        <w:t xml:space="preserve">50 Instructional Routines to Develop Content Literacy </w:t>
      </w:r>
      <w:r>
        <w:t xml:space="preserve">(2nd </w:t>
      </w:r>
      <w:proofErr w:type="gramStart"/>
      <w:r>
        <w:t>ed</w:t>
      </w:r>
      <w:proofErr w:type="gramEnd"/>
      <w:r>
        <w:t>.) (pp. 135-137). Boston, MA: Pearson Education, Inc.</w:t>
      </w:r>
    </w:p>
    <w:p w:rsidR="008B0FFE" w:rsidRDefault="008B0FFE" w:rsidP="00BD6006">
      <w:pPr>
        <w:tabs>
          <w:tab w:val="left" w:pos="360"/>
          <w:tab w:val="left" w:pos="720"/>
        </w:tabs>
        <w:spacing w:line="240" w:lineRule="auto"/>
        <w:rPr>
          <w:rFonts w:eastAsia="Times New Roman" w:cs="Arial"/>
          <w:color w:val="000000"/>
        </w:rPr>
      </w:pPr>
    </w:p>
    <w:p w:rsidR="00FA4985" w:rsidRDefault="00FA4985" w:rsidP="00BD6006">
      <w:pPr>
        <w:tabs>
          <w:tab w:val="left" w:pos="360"/>
          <w:tab w:val="left" w:pos="720"/>
        </w:tabs>
        <w:spacing w:line="240" w:lineRule="auto"/>
        <w:rPr>
          <w:rFonts w:eastAsia="Times New Roman" w:cs="Arial"/>
          <w:color w:val="000000"/>
        </w:rPr>
      </w:pPr>
    </w:p>
    <w:p w:rsidR="008B0FFE" w:rsidRPr="00474E2B" w:rsidRDefault="001E0CB2" w:rsidP="00BD6006">
      <w:pPr>
        <w:tabs>
          <w:tab w:val="left" w:pos="360"/>
          <w:tab w:val="left" w:pos="720"/>
        </w:tabs>
        <w:spacing w:line="240" w:lineRule="auto"/>
        <w:rPr>
          <w:rFonts w:eastAsia="Times New Roman" w:cs="Times New Roman"/>
          <w:b/>
        </w:rPr>
      </w:pPr>
      <w:r w:rsidRPr="00474E2B">
        <w:rPr>
          <w:rFonts w:eastAsia="Times New Roman" w:cs="Arial"/>
          <w:b/>
          <w:color w:val="000000"/>
        </w:rPr>
        <w:t>3</w:t>
      </w:r>
      <w:r w:rsidR="008B0FFE" w:rsidRPr="00474E2B">
        <w:rPr>
          <w:rFonts w:eastAsia="Times New Roman" w:cs="Arial"/>
          <w:b/>
          <w:color w:val="000000"/>
        </w:rPr>
        <w:t>. Semantic Map</w:t>
      </w:r>
    </w:p>
    <w:p w:rsidR="008B0FFE" w:rsidRPr="00D405EA" w:rsidRDefault="001F11A3" w:rsidP="001F11A3">
      <w:pPr>
        <w:tabs>
          <w:tab w:val="left" w:pos="360"/>
          <w:tab w:val="left" w:pos="720"/>
        </w:tabs>
        <w:spacing w:line="240" w:lineRule="auto"/>
        <w:rPr>
          <w:rFonts w:eastAsia="Times New Roman" w:cs="Times New Roman"/>
        </w:rPr>
      </w:pPr>
      <w:r>
        <w:rPr>
          <w:rFonts w:eastAsia="Times New Roman" w:cs="Arial"/>
          <w:color w:val="000000"/>
        </w:rPr>
        <w:tab/>
      </w:r>
      <w:r w:rsidR="008B0FFE" w:rsidRPr="00D405EA">
        <w:rPr>
          <w:rFonts w:eastAsia="Times New Roman" w:cs="Arial"/>
          <w:color w:val="000000"/>
        </w:rPr>
        <w:t>As the primary activity to activate students’ prior knowledge, semantic maps will be used at the beginning of many lessons. As a “Do Now” prompt, students will have to brainstorm ideas about a key concept that will be discussed - and referenced - over the course of the lesson</w:t>
      </w:r>
      <w:r w:rsidR="001372FA">
        <w:rPr>
          <w:rFonts w:eastAsia="Times New Roman" w:cs="Arial"/>
          <w:color w:val="000000"/>
        </w:rPr>
        <w:t xml:space="preserve"> (i.e. Holocaust, 9/11 and War on Terror, poetry form, modern-day racism, etc)</w:t>
      </w:r>
      <w:r w:rsidR="008B0FFE" w:rsidRPr="00D405EA">
        <w:rPr>
          <w:rFonts w:eastAsia="Times New Roman" w:cs="Arial"/>
          <w:color w:val="000000"/>
        </w:rPr>
        <w:t>.</w:t>
      </w:r>
      <w:r w:rsidR="00BB6E67">
        <w:rPr>
          <w:rFonts w:eastAsia="Times New Roman" w:cs="Arial"/>
          <w:color w:val="000000"/>
        </w:rPr>
        <w:t xml:space="preserve"> </w:t>
      </w:r>
      <w:r w:rsidR="00500CA3">
        <w:rPr>
          <w:rFonts w:eastAsia="Times New Roman" w:cs="Arial"/>
          <w:color w:val="000000"/>
        </w:rPr>
        <w:t>After the independent or partner-work brainstorming, the class will come together to compile an anchor semantic map on the front white board</w:t>
      </w:r>
      <w:r w:rsidR="002B2BD9">
        <w:rPr>
          <w:rFonts w:eastAsia="Times New Roman" w:cs="Arial"/>
          <w:color w:val="000000"/>
        </w:rPr>
        <w:t xml:space="preserve"> with </w:t>
      </w:r>
      <w:r w:rsidR="00474E2B">
        <w:rPr>
          <w:rFonts w:eastAsia="Times New Roman" w:cs="Arial"/>
          <w:color w:val="000000"/>
        </w:rPr>
        <w:t xml:space="preserve">student volunteer responses. </w:t>
      </w:r>
      <w:r w:rsidR="00240858">
        <w:rPr>
          <w:rFonts w:eastAsia="Times New Roman" w:cs="Arial"/>
          <w:color w:val="000000"/>
        </w:rPr>
        <w:t xml:space="preserve">Since all students should have at least one item on their semantic maps by the time the class comes together, these “Do Now” prompts allow the </w:t>
      </w:r>
      <w:r w:rsidR="00240858">
        <w:rPr>
          <w:rFonts w:eastAsia="Times New Roman" w:cs="Arial"/>
          <w:color w:val="000000"/>
        </w:rPr>
        <w:lastRenderedPageBreak/>
        <w:t xml:space="preserve">teacher </w:t>
      </w:r>
      <w:r w:rsidR="002B2BD9">
        <w:rPr>
          <w:rFonts w:eastAsia="Times New Roman" w:cs="Arial"/>
          <w:color w:val="000000"/>
        </w:rPr>
        <w:t>to call on a quieter student to</w:t>
      </w:r>
      <w:r w:rsidR="00240858">
        <w:rPr>
          <w:rFonts w:eastAsia="Times New Roman" w:cs="Arial"/>
          <w:color w:val="000000"/>
        </w:rPr>
        <w:t xml:space="preserve"> read one of their bubbles/branches.</w:t>
      </w:r>
      <w:r w:rsidR="00323EEC">
        <w:rPr>
          <w:rFonts w:eastAsia="Times New Roman" w:cs="Arial"/>
          <w:color w:val="000000"/>
        </w:rPr>
        <w:t xml:space="preserve"> Since the student should have their</w:t>
      </w:r>
      <w:r w:rsidR="001E165F">
        <w:rPr>
          <w:rFonts w:eastAsia="Times New Roman" w:cs="Arial"/>
          <w:color w:val="000000"/>
        </w:rPr>
        <w:t xml:space="preserve"> web</w:t>
      </w:r>
      <w:r w:rsidR="00240858">
        <w:rPr>
          <w:rFonts w:eastAsia="Times New Roman" w:cs="Arial"/>
          <w:color w:val="000000"/>
        </w:rPr>
        <w:t xml:space="preserve"> in front of them, it should be a low-risk means of participation for them. </w:t>
      </w:r>
    </w:p>
    <w:p w:rsidR="008B0FFE" w:rsidRDefault="008B0FFE" w:rsidP="00BD6006">
      <w:pPr>
        <w:pStyle w:val="ListParagraph"/>
        <w:tabs>
          <w:tab w:val="left" w:pos="360"/>
          <w:tab w:val="left" w:pos="720"/>
        </w:tabs>
        <w:spacing w:line="240" w:lineRule="auto"/>
        <w:rPr>
          <w:rFonts w:eastAsia="Times New Roman" w:cs="Times New Roman"/>
        </w:rPr>
      </w:pPr>
    </w:p>
    <w:p w:rsidR="00FA4985" w:rsidRPr="008B0FFE" w:rsidRDefault="00FA4985" w:rsidP="00BD6006">
      <w:pPr>
        <w:pStyle w:val="ListParagraph"/>
        <w:tabs>
          <w:tab w:val="left" w:pos="360"/>
          <w:tab w:val="left" w:pos="720"/>
        </w:tabs>
        <w:spacing w:line="240" w:lineRule="auto"/>
        <w:rPr>
          <w:rFonts w:eastAsia="Times New Roman" w:cs="Times New Roman"/>
        </w:rPr>
      </w:pPr>
    </w:p>
    <w:p w:rsidR="00F75EAD" w:rsidRDefault="001E0CB2" w:rsidP="00BD6006">
      <w:pPr>
        <w:tabs>
          <w:tab w:val="left" w:pos="360"/>
          <w:tab w:val="left" w:pos="720"/>
        </w:tabs>
        <w:spacing w:line="240" w:lineRule="auto"/>
        <w:rPr>
          <w:rFonts w:eastAsia="Times New Roman" w:cs="Arial"/>
          <w:b/>
          <w:color w:val="000000"/>
        </w:rPr>
      </w:pPr>
      <w:r w:rsidRPr="00FA4985">
        <w:rPr>
          <w:rFonts w:eastAsia="Times New Roman" w:cs="Arial"/>
          <w:b/>
          <w:color w:val="000000"/>
        </w:rPr>
        <w:t>4</w:t>
      </w:r>
      <w:r w:rsidR="008B0FFE" w:rsidRPr="00FA4985">
        <w:rPr>
          <w:rFonts w:eastAsia="Times New Roman" w:cs="Arial"/>
          <w:b/>
          <w:color w:val="000000"/>
        </w:rPr>
        <w:t>. Summarization Activities</w:t>
      </w:r>
    </w:p>
    <w:p w:rsidR="00F75EAD" w:rsidRDefault="00F75EAD" w:rsidP="00BD6006">
      <w:pPr>
        <w:tabs>
          <w:tab w:val="left" w:pos="360"/>
          <w:tab w:val="left" w:pos="720"/>
        </w:tabs>
        <w:spacing w:line="240" w:lineRule="auto"/>
        <w:rPr>
          <w:rFonts w:eastAsia="Times New Roman" w:cs="Arial"/>
          <w:color w:val="000000"/>
        </w:rPr>
      </w:pPr>
      <w:r>
        <w:rPr>
          <w:rFonts w:eastAsia="Times New Roman" w:cs="Arial"/>
          <w:b/>
          <w:color w:val="000000"/>
        </w:rPr>
        <w:tab/>
      </w:r>
      <w:r>
        <w:rPr>
          <w:rFonts w:eastAsia="Times New Roman" w:cs="Arial"/>
          <w:color w:val="000000"/>
        </w:rPr>
        <w:t>In both the English and social studies classroom, students will work on summarizing, a reading strategy. Students will be required to summarize various texts. For example, they will summarize a Critical Lens quote, slam poem videos, and informational texts (including both primary and secondary sources). Three primary activities will help students summarize: summarizing by drawing, tweet summar</w:t>
      </w:r>
      <w:r w:rsidR="007C7C9F">
        <w:rPr>
          <w:rFonts w:eastAsia="Times New Roman" w:cs="Arial"/>
          <w:color w:val="000000"/>
        </w:rPr>
        <w:t xml:space="preserve">ies, and biopoems/bio-pyramids. </w:t>
      </w:r>
      <w:r w:rsidR="001B08A4">
        <w:rPr>
          <w:rFonts w:eastAsia="Times New Roman" w:cs="Arial"/>
          <w:color w:val="000000"/>
        </w:rPr>
        <w:t xml:space="preserve">In order to interpret a section of a long quote, students will work with a partner to compose an illustration of it. For multiple texts, students will be required to write a summary in Twitter language, meaning they can use </w:t>
      </w:r>
      <w:proofErr w:type="spellStart"/>
      <w:r w:rsidR="001B08A4">
        <w:rPr>
          <w:rFonts w:eastAsia="Times New Roman" w:cs="Arial"/>
          <w:color w:val="000000"/>
        </w:rPr>
        <w:t>hashtags</w:t>
      </w:r>
      <w:proofErr w:type="spellEnd"/>
      <w:r w:rsidR="001B08A4">
        <w:rPr>
          <w:rFonts w:eastAsia="Times New Roman" w:cs="Arial"/>
          <w:color w:val="000000"/>
        </w:rPr>
        <w:t xml:space="preserve"> and are limited to 140 characters. Such an activity will help them write concise, straightforward summaries. Lastly, in social studies, students will use the biopoems and bio-pyramid structures as a guideline to write a summary poem about their civil rights activist. Students will not be restricted to either skeletal frame, so it will act more as a prompt and guide to support their summaries. </w:t>
      </w:r>
    </w:p>
    <w:p w:rsidR="008B0FFE" w:rsidRDefault="008B0FFE" w:rsidP="00BD6006">
      <w:pPr>
        <w:tabs>
          <w:tab w:val="left" w:pos="360"/>
          <w:tab w:val="left" w:pos="720"/>
        </w:tabs>
        <w:spacing w:line="240" w:lineRule="auto"/>
        <w:rPr>
          <w:rFonts w:eastAsia="Times New Roman" w:cs="Arial"/>
          <w:color w:val="000000"/>
        </w:rPr>
      </w:pPr>
    </w:p>
    <w:p w:rsidR="00BA0640" w:rsidRDefault="00BA0640" w:rsidP="00A11588">
      <w:pPr>
        <w:tabs>
          <w:tab w:val="left" w:pos="360"/>
          <w:tab w:val="left" w:pos="720"/>
        </w:tabs>
        <w:spacing w:line="240" w:lineRule="auto"/>
        <w:ind w:left="720" w:hanging="720"/>
      </w:pPr>
      <w:r>
        <w:t xml:space="preserve">Elliott, J. (2007). </w:t>
      </w:r>
      <w:proofErr w:type="gramStart"/>
      <w:r>
        <w:t>Summarizing with drawings: A reading comprehension strategy.</w:t>
      </w:r>
      <w:proofErr w:type="gramEnd"/>
      <w:r>
        <w:t xml:space="preserve"> Science Scope, 30(5), 23-27.</w:t>
      </w:r>
    </w:p>
    <w:p w:rsidR="00BA0640" w:rsidRDefault="00BA0640" w:rsidP="00BD6006">
      <w:pPr>
        <w:tabs>
          <w:tab w:val="left" w:pos="360"/>
          <w:tab w:val="left" w:pos="720"/>
        </w:tabs>
        <w:spacing w:line="240" w:lineRule="auto"/>
      </w:pPr>
    </w:p>
    <w:p w:rsidR="00BA0640" w:rsidRDefault="00BA0640" w:rsidP="00A11588">
      <w:pPr>
        <w:tabs>
          <w:tab w:val="left" w:pos="360"/>
          <w:tab w:val="left" w:pos="720"/>
        </w:tabs>
        <w:spacing w:line="240" w:lineRule="auto"/>
        <w:ind w:left="720" w:hanging="720"/>
      </w:pPr>
      <w:proofErr w:type="spellStart"/>
      <w:proofErr w:type="gramStart"/>
      <w:r>
        <w:t>Knipper</w:t>
      </w:r>
      <w:proofErr w:type="spellEnd"/>
      <w:r>
        <w:t>, K. J. &amp; Duggan, T. J. (2006).</w:t>
      </w:r>
      <w:proofErr w:type="gramEnd"/>
      <w:r>
        <w:t xml:space="preserve"> </w:t>
      </w:r>
      <w:proofErr w:type="gramStart"/>
      <w:r>
        <w:t>Writing to learn across the curriculum: Tools for comprehension in content area classes.</w:t>
      </w:r>
      <w:proofErr w:type="gramEnd"/>
      <w:r>
        <w:t xml:space="preserve"> </w:t>
      </w:r>
      <w:r>
        <w:rPr>
          <w:rStyle w:val="Emphasis"/>
        </w:rPr>
        <w:t>The Reading Teacher</w:t>
      </w:r>
      <w:r>
        <w:t xml:space="preserve">, </w:t>
      </w:r>
      <w:r>
        <w:rPr>
          <w:rStyle w:val="Emphasis"/>
        </w:rPr>
        <w:t>59</w:t>
      </w:r>
      <w:r>
        <w:t xml:space="preserve">(5), 462-470. </w:t>
      </w:r>
    </w:p>
    <w:p w:rsidR="00A11588" w:rsidRDefault="00A11588" w:rsidP="00A11588">
      <w:pPr>
        <w:tabs>
          <w:tab w:val="left" w:pos="360"/>
          <w:tab w:val="left" w:pos="720"/>
        </w:tabs>
        <w:spacing w:line="240" w:lineRule="auto"/>
        <w:ind w:left="720" w:hanging="720"/>
      </w:pPr>
    </w:p>
    <w:p w:rsidR="00BA0640" w:rsidRDefault="00BA0640" w:rsidP="00A11588">
      <w:pPr>
        <w:tabs>
          <w:tab w:val="left" w:pos="360"/>
          <w:tab w:val="left" w:pos="720"/>
        </w:tabs>
        <w:spacing w:line="240" w:lineRule="auto"/>
        <w:ind w:left="720" w:hanging="720"/>
        <w:rPr>
          <w:rFonts w:eastAsia="Times New Roman" w:cs="Arial"/>
          <w:color w:val="000000"/>
        </w:rPr>
      </w:pPr>
      <w:proofErr w:type="gramStart"/>
      <w:r>
        <w:t>McLaughlin, M., &amp; Allen, M. B. (2002).</w:t>
      </w:r>
      <w:proofErr w:type="gramEnd"/>
      <w:r>
        <w:t xml:space="preserve"> </w:t>
      </w:r>
      <w:proofErr w:type="gramStart"/>
      <w:r>
        <w:t>Bio-pyramid.</w:t>
      </w:r>
      <w:proofErr w:type="gramEnd"/>
      <w:r>
        <w:t xml:space="preserve"> In </w:t>
      </w:r>
      <w:r>
        <w:rPr>
          <w:rStyle w:val="Emphasis"/>
        </w:rPr>
        <w:t xml:space="preserve">Guided comprehension: A teaching model for grades 3-8 </w:t>
      </w:r>
      <w:r>
        <w:t>(pp. 91-95). Newark, DE: International Reading Association.</w:t>
      </w:r>
    </w:p>
    <w:p w:rsidR="00FA4985" w:rsidRDefault="00FA4985" w:rsidP="00BD6006">
      <w:pPr>
        <w:tabs>
          <w:tab w:val="left" w:pos="360"/>
          <w:tab w:val="left" w:pos="720"/>
        </w:tabs>
        <w:spacing w:line="240" w:lineRule="auto"/>
        <w:rPr>
          <w:rFonts w:eastAsia="Times New Roman" w:cs="Arial"/>
          <w:color w:val="000000"/>
        </w:rPr>
      </w:pPr>
    </w:p>
    <w:p w:rsidR="00A11588" w:rsidRDefault="00A11588" w:rsidP="00BD6006">
      <w:pPr>
        <w:tabs>
          <w:tab w:val="left" w:pos="360"/>
          <w:tab w:val="left" w:pos="720"/>
        </w:tabs>
        <w:spacing w:line="240" w:lineRule="auto"/>
        <w:rPr>
          <w:rFonts w:eastAsia="Times New Roman" w:cs="Arial"/>
          <w:color w:val="000000"/>
        </w:rPr>
      </w:pPr>
    </w:p>
    <w:p w:rsidR="008B0FFE" w:rsidRPr="00B255D6" w:rsidRDefault="00F26589" w:rsidP="00F26589">
      <w:pPr>
        <w:tabs>
          <w:tab w:val="left" w:pos="360"/>
          <w:tab w:val="left" w:pos="720"/>
        </w:tabs>
        <w:spacing w:line="240" w:lineRule="auto"/>
        <w:rPr>
          <w:rFonts w:eastAsia="Times New Roman" w:cs="Times New Roman"/>
          <w:b/>
        </w:rPr>
      </w:pPr>
      <w:r w:rsidRPr="00B255D6">
        <w:rPr>
          <w:rFonts w:eastAsia="Times New Roman" w:cs="Arial"/>
          <w:b/>
          <w:color w:val="000000"/>
        </w:rPr>
        <w:t xml:space="preserve">5. </w:t>
      </w:r>
      <w:r w:rsidR="008B0FFE" w:rsidRPr="00B255D6">
        <w:rPr>
          <w:rFonts w:eastAsia="Times New Roman" w:cs="Arial"/>
          <w:b/>
          <w:color w:val="000000"/>
        </w:rPr>
        <w:t>Think-Pair-Share</w:t>
      </w:r>
    </w:p>
    <w:p w:rsidR="008B0FFE" w:rsidRPr="00D405EA" w:rsidRDefault="008A5F40" w:rsidP="008A5F40">
      <w:pPr>
        <w:tabs>
          <w:tab w:val="left" w:pos="360"/>
          <w:tab w:val="left" w:pos="720"/>
        </w:tabs>
        <w:spacing w:line="240" w:lineRule="auto"/>
        <w:rPr>
          <w:rFonts w:eastAsia="Times New Roman" w:cs="Times New Roman"/>
        </w:rPr>
      </w:pPr>
      <w:r>
        <w:rPr>
          <w:rFonts w:eastAsia="Times New Roman" w:cs="Arial"/>
          <w:color w:val="000000"/>
        </w:rPr>
        <w:tab/>
      </w:r>
      <w:r w:rsidR="008B0FFE" w:rsidRPr="00D405EA">
        <w:rPr>
          <w:rFonts w:eastAsia="Times New Roman" w:cs="Arial"/>
          <w:color w:val="000000"/>
        </w:rPr>
        <w:t xml:space="preserve">This strategy was used in lessons in both English and Social Studies. In the first Social </w:t>
      </w:r>
      <w:r w:rsidR="00B255D6">
        <w:rPr>
          <w:rFonts w:eastAsia="Times New Roman" w:cs="Arial"/>
          <w:color w:val="000000"/>
        </w:rPr>
        <w:t xml:space="preserve">Studies </w:t>
      </w:r>
      <w:r w:rsidR="008B0FFE" w:rsidRPr="00D405EA">
        <w:rPr>
          <w:rFonts w:eastAsia="Times New Roman" w:cs="Arial"/>
          <w:color w:val="000000"/>
        </w:rPr>
        <w:t>lesson, an introduction to African American Civil Rights, students used the Think-Pair-Share strategy to brainstorm information they already knew on the topic. In this, the teacher asked the students to think about the African American Civil Rights movement individually, then pair up with a partner, share ideas, and then share these ideas out with the class. This same activity was done in the first poetry lesson, in which students thought about and discussed what they already knew about poetry.</w:t>
      </w:r>
    </w:p>
    <w:p w:rsidR="008B0FFE" w:rsidRDefault="008B0FFE" w:rsidP="00BD6006">
      <w:pPr>
        <w:tabs>
          <w:tab w:val="left" w:pos="360"/>
          <w:tab w:val="left" w:pos="720"/>
        </w:tabs>
        <w:spacing w:line="240" w:lineRule="auto"/>
        <w:rPr>
          <w:rFonts w:eastAsia="Times New Roman" w:cs="Arial"/>
          <w:color w:val="000000"/>
        </w:rPr>
      </w:pPr>
    </w:p>
    <w:p w:rsidR="00FA4985" w:rsidRPr="008B0FFE" w:rsidRDefault="00FA4985" w:rsidP="00BD6006">
      <w:pPr>
        <w:tabs>
          <w:tab w:val="left" w:pos="360"/>
          <w:tab w:val="left" w:pos="720"/>
        </w:tabs>
        <w:spacing w:line="240" w:lineRule="auto"/>
        <w:rPr>
          <w:rFonts w:eastAsia="Times New Roman" w:cs="Arial"/>
          <w:color w:val="000000"/>
        </w:rPr>
      </w:pPr>
    </w:p>
    <w:p w:rsidR="008B0FFE" w:rsidRPr="00E21EDF" w:rsidRDefault="001E0CB2" w:rsidP="00BD6006">
      <w:pPr>
        <w:tabs>
          <w:tab w:val="left" w:pos="360"/>
          <w:tab w:val="left" w:pos="720"/>
        </w:tabs>
        <w:spacing w:line="240" w:lineRule="auto"/>
        <w:rPr>
          <w:rFonts w:eastAsia="Times New Roman" w:cs="Arial"/>
          <w:b/>
          <w:color w:val="000000"/>
        </w:rPr>
      </w:pPr>
      <w:r w:rsidRPr="00E21EDF">
        <w:rPr>
          <w:rFonts w:eastAsia="Times New Roman" w:cs="Arial"/>
          <w:b/>
          <w:color w:val="000000"/>
        </w:rPr>
        <w:t>6</w:t>
      </w:r>
      <w:r w:rsidR="008B0FFE" w:rsidRPr="00E21EDF">
        <w:rPr>
          <w:rFonts w:eastAsia="Times New Roman" w:cs="Arial"/>
          <w:b/>
          <w:color w:val="000000"/>
        </w:rPr>
        <w:t>. Twitter-Enhanced Fishbowl Discussion</w:t>
      </w:r>
    </w:p>
    <w:p w:rsidR="008B0FFE" w:rsidRDefault="00B255D6" w:rsidP="00BD6006">
      <w:pPr>
        <w:tabs>
          <w:tab w:val="left" w:pos="360"/>
          <w:tab w:val="left" w:pos="720"/>
        </w:tabs>
        <w:spacing w:line="240" w:lineRule="auto"/>
        <w:rPr>
          <w:rFonts w:eastAsia="Times New Roman" w:cs="Arial"/>
          <w:color w:val="000000"/>
        </w:rPr>
      </w:pPr>
      <w:r>
        <w:rPr>
          <w:rFonts w:eastAsia="Times New Roman" w:cs="Arial"/>
          <w:color w:val="000000"/>
        </w:rPr>
        <w:tab/>
        <w:t>As part of the summative assessment for the social studies unit, a Twitter-enhanced fishbowl discussion will enable student groups to converse about a key event in the African-American Civil Rights Movement and by d</w:t>
      </w:r>
      <w:r w:rsidR="00D359CE">
        <w:rPr>
          <w:rFonts w:eastAsia="Times New Roman" w:cs="Arial"/>
          <w:color w:val="000000"/>
        </w:rPr>
        <w:t xml:space="preserve">oing so, inform their peers </w:t>
      </w:r>
      <w:r w:rsidR="00ED6F5E">
        <w:rPr>
          <w:rFonts w:eastAsia="Times New Roman" w:cs="Arial"/>
          <w:color w:val="000000"/>
        </w:rPr>
        <w:t xml:space="preserve">and peer </w:t>
      </w:r>
      <w:r w:rsidR="00712C0F">
        <w:rPr>
          <w:rFonts w:eastAsia="Times New Roman" w:cs="Arial"/>
          <w:color w:val="000000"/>
        </w:rPr>
        <w:t>teach as “experts”</w:t>
      </w:r>
      <w:r w:rsidR="004E7304">
        <w:rPr>
          <w:rFonts w:eastAsia="Times New Roman" w:cs="Arial"/>
          <w:color w:val="000000"/>
        </w:rPr>
        <w:t xml:space="preserve"> on their researched topic. In the outside-circle, students will be taking notes on the inner-circle group discussions while also tweeting their comments and opinions to the social studies Twitter feed, offering feedback and input in real-time. This will be their means of participation. Students will have their cell phones or computers to do the tweeting. Screens will have to be closely monitored by the teacher, as students may be distracted by the devices and use them to surf the Internet, log into their </w:t>
      </w:r>
      <w:proofErr w:type="spellStart"/>
      <w:r w:rsidR="004E7304">
        <w:rPr>
          <w:rFonts w:eastAsia="Times New Roman" w:cs="Arial"/>
          <w:color w:val="000000"/>
        </w:rPr>
        <w:t>Facebook</w:t>
      </w:r>
      <w:proofErr w:type="spellEnd"/>
      <w:r w:rsidR="004E7304">
        <w:rPr>
          <w:rFonts w:eastAsia="Times New Roman" w:cs="Arial"/>
          <w:color w:val="000000"/>
        </w:rPr>
        <w:t xml:space="preserve"> accounts, etc. When each inner-circle group discussion is finished, students will be able to ask questions and the teacher will pull several tweets from the Twitter feed to share with the class, using them as potential conversation starters. Students will prepare for the Twitter participation component in a number of ways: Critical Lens </w:t>
      </w:r>
      <w:r w:rsidR="00704F5D">
        <w:rPr>
          <w:rFonts w:eastAsia="Times New Roman" w:cs="Arial"/>
          <w:color w:val="000000"/>
        </w:rPr>
        <w:t xml:space="preserve">tweet </w:t>
      </w:r>
      <w:r w:rsidR="004E7304">
        <w:rPr>
          <w:rFonts w:eastAsia="Times New Roman" w:cs="Arial"/>
          <w:color w:val="000000"/>
        </w:rPr>
        <w:lastRenderedPageBreak/>
        <w:t xml:space="preserve">interpretation practice in ELA, the “Promotional Tweet” component of their ELA slam poem final project, Tweet summaries in ELA, and an </w:t>
      </w:r>
      <w:r w:rsidR="003B6747">
        <w:rPr>
          <w:rFonts w:eastAsia="Times New Roman" w:cs="Arial"/>
          <w:color w:val="000000"/>
        </w:rPr>
        <w:t>“</w:t>
      </w:r>
      <w:r w:rsidR="004E7304">
        <w:rPr>
          <w:rFonts w:eastAsia="Times New Roman" w:cs="Arial"/>
          <w:color w:val="000000"/>
        </w:rPr>
        <w:t>Introduction to Tw</w:t>
      </w:r>
      <w:r w:rsidR="003B6747">
        <w:rPr>
          <w:rFonts w:eastAsia="Times New Roman" w:cs="Arial"/>
          <w:color w:val="000000"/>
        </w:rPr>
        <w:t xml:space="preserve">itter” </w:t>
      </w:r>
      <w:r w:rsidR="004E7304">
        <w:rPr>
          <w:rFonts w:eastAsia="Times New Roman" w:cs="Arial"/>
          <w:color w:val="000000"/>
        </w:rPr>
        <w:t xml:space="preserve">day in social studies. </w:t>
      </w:r>
    </w:p>
    <w:p w:rsidR="00B255D6" w:rsidRDefault="00B255D6" w:rsidP="00BD6006">
      <w:pPr>
        <w:tabs>
          <w:tab w:val="left" w:pos="360"/>
          <w:tab w:val="left" w:pos="720"/>
        </w:tabs>
        <w:spacing w:line="240" w:lineRule="auto"/>
        <w:rPr>
          <w:rFonts w:eastAsia="Times New Roman" w:cs="Arial"/>
          <w:color w:val="000000"/>
        </w:rPr>
      </w:pPr>
    </w:p>
    <w:p w:rsidR="00E21EDF" w:rsidRDefault="00E21EDF" w:rsidP="00B255D6">
      <w:pPr>
        <w:tabs>
          <w:tab w:val="left" w:pos="360"/>
          <w:tab w:val="left" w:pos="720"/>
        </w:tabs>
        <w:spacing w:line="240" w:lineRule="auto"/>
        <w:ind w:left="720" w:hanging="720"/>
        <w:rPr>
          <w:rFonts w:eastAsia="Times New Roman" w:cs="Arial"/>
          <w:color w:val="000000"/>
        </w:rPr>
      </w:pPr>
      <w:r>
        <w:t xml:space="preserve">Fisher, D., </w:t>
      </w:r>
      <w:proofErr w:type="spellStart"/>
      <w:proofErr w:type="gramStart"/>
      <w:r>
        <w:t>Brozo</w:t>
      </w:r>
      <w:proofErr w:type="spellEnd"/>
      <w:proofErr w:type="gramEnd"/>
      <w:r>
        <w:t xml:space="preserve">, W. G., Frey, N., &amp; Ivey, G. (2011).9: Fishbowl Discussions. In </w:t>
      </w:r>
      <w:r>
        <w:rPr>
          <w:rStyle w:val="Emphasis"/>
        </w:rPr>
        <w:t xml:space="preserve">50 Instructional Routines to Develop Content Literacy </w:t>
      </w:r>
      <w:r>
        <w:t xml:space="preserve">(2nd </w:t>
      </w:r>
      <w:proofErr w:type="gramStart"/>
      <w:r>
        <w:t>ed</w:t>
      </w:r>
      <w:proofErr w:type="gramEnd"/>
      <w:r>
        <w:t>.) (pp. 29-30). Boston, MA: Pearson Education, Inc.</w:t>
      </w:r>
    </w:p>
    <w:p w:rsidR="00E21EDF" w:rsidRDefault="00E21EDF" w:rsidP="00BD6006">
      <w:pPr>
        <w:tabs>
          <w:tab w:val="left" w:pos="360"/>
          <w:tab w:val="left" w:pos="720"/>
        </w:tabs>
        <w:spacing w:line="240" w:lineRule="auto"/>
        <w:rPr>
          <w:rFonts w:eastAsia="Times New Roman" w:cs="Arial"/>
          <w:color w:val="000000"/>
        </w:rPr>
      </w:pPr>
    </w:p>
    <w:p w:rsidR="00FA4985" w:rsidRPr="00D405EA" w:rsidRDefault="00FA4985" w:rsidP="00BD6006">
      <w:pPr>
        <w:tabs>
          <w:tab w:val="left" w:pos="360"/>
          <w:tab w:val="left" w:pos="720"/>
        </w:tabs>
        <w:spacing w:line="240" w:lineRule="auto"/>
        <w:rPr>
          <w:rFonts w:eastAsia="Times New Roman" w:cs="Arial"/>
          <w:color w:val="000000"/>
        </w:rPr>
      </w:pPr>
    </w:p>
    <w:p w:rsidR="00D405EA" w:rsidRPr="00482527" w:rsidRDefault="001E0CB2" w:rsidP="00BD6006">
      <w:pPr>
        <w:tabs>
          <w:tab w:val="left" w:pos="360"/>
          <w:tab w:val="left" w:pos="720"/>
        </w:tabs>
        <w:spacing w:line="240" w:lineRule="auto"/>
        <w:rPr>
          <w:rFonts w:eastAsia="Times New Roman" w:cs="Times New Roman"/>
          <w:b/>
        </w:rPr>
      </w:pPr>
      <w:r w:rsidRPr="00482527">
        <w:rPr>
          <w:rFonts w:eastAsia="Times New Roman" w:cs="Arial"/>
          <w:b/>
          <w:color w:val="000000"/>
        </w:rPr>
        <w:t>7</w:t>
      </w:r>
      <w:r w:rsidR="008B0FFE" w:rsidRPr="00482527">
        <w:rPr>
          <w:rFonts w:eastAsia="Times New Roman" w:cs="Arial"/>
          <w:b/>
          <w:color w:val="000000"/>
        </w:rPr>
        <w:t xml:space="preserve">. </w:t>
      </w:r>
      <w:r w:rsidR="00D405EA" w:rsidRPr="00482527">
        <w:rPr>
          <w:rFonts w:eastAsia="Times New Roman" w:cs="Arial"/>
          <w:b/>
          <w:color w:val="000000"/>
        </w:rPr>
        <w:t>Venn Diagram Graphic Organizer</w:t>
      </w:r>
      <w:r w:rsidR="00094840" w:rsidRPr="00482527">
        <w:rPr>
          <w:rFonts w:eastAsia="Times New Roman" w:cs="Arial"/>
          <w:b/>
          <w:color w:val="000000"/>
        </w:rPr>
        <w:t xml:space="preserve"> for Compare/Contrast</w:t>
      </w:r>
      <w:r w:rsidR="00482527" w:rsidRPr="00482527">
        <w:rPr>
          <w:rFonts w:eastAsia="Times New Roman" w:cs="Arial"/>
          <w:b/>
          <w:color w:val="000000"/>
        </w:rPr>
        <w:t xml:space="preserve"> Activities</w:t>
      </w:r>
    </w:p>
    <w:p w:rsidR="00D405EA" w:rsidRPr="00D405EA" w:rsidRDefault="00D405EA" w:rsidP="00BD6006">
      <w:pPr>
        <w:tabs>
          <w:tab w:val="left" w:pos="360"/>
          <w:tab w:val="left" w:pos="720"/>
        </w:tabs>
        <w:spacing w:line="240" w:lineRule="auto"/>
        <w:rPr>
          <w:rFonts w:eastAsia="Times New Roman" w:cs="Times New Roman"/>
        </w:rPr>
      </w:pPr>
      <w:r w:rsidRPr="00D405EA">
        <w:rPr>
          <w:rFonts w:eastAsia="Times New Roman" w:cs="Arial"/>
          <w:color w:val="000000"/>
        </w:rPr>
        <w:t xml:space="preserve">    Compare and contrast activities will appear in several lessons across the two content areas. For example, students will be differentiating between integration and </w:t>
      </w:r>
      <w:r w:rsidR="002B2BD9">
        <w:rPr>
          <w:rFonts w:eastAsia="Times New Roman" w:cs="Arial"/>
          <w:color w:val="000000"/>
        </w:rPr>
        <w:t xml:space="preserve">desegregation in their social studies classroom </w:t>
      </w:r>
      <w:r w:rsidRPr="00D405EA">
        <w:rPr>
          <w:rFonts w:eastAsia="Times New Roman" w:cs="Arial"/>
          <w:color w:val="000000"/>
        </w:rPr>
        <w:t xml:space="preserve">and looking at foil characters in a television episode that portrays the tensions in Dylan Thomas’s “Do Not Go Gentle into that Good Night.” </w:t>
      </w:r>
      <w:r w:rsidR="00B36279">
        <w:rPr>
          <w:rFonts w:eastAsia="Times New Roman" w:cs="Arial"/>
          <w:color w:val="000000"/>
        </w:rPr>
        <w:t xml:space="preserve">The graphic organizer format will allow students to map out the similarities and differences between key people or key jargon in an organized and visual fashion. </w:t>
      </w:r>
    </w:p>
    <w:p w:rsidR="00D405EA" w:rsidRPr="00D405EA" w:rsidRDefault="00D405EA" w:rsidP="00BD6006">
      <w:pPr>
        <w:tabs>
          <w:tab w:val="left" w:pos="360"/>
          <w:tab w:val="left" w:pos="720"/>
        </w:tabs>
        <w:spacing w:line="240" w:lineRule="auto"/>
        <w:rPr>
          <w:rFonts w:eastAsia="Times New Roman" w:cs="Times New Roman"/>
        </w:rPr>
      </w:pPr>
    </w:p>
    <w:p w:rsidR="009018BE" w:rsidRPr="001B08A4" w:rsidRDefault="00D405EA" w:rsidP="001B08A4">
      <w:pPr>
        <w:tabs>
          <w:tab w:val="left" w:pos="360"/>
          <w:tab w:val="left" w:pos="720"/>
        </w:tabs>
        <w:spacing w:line="240" w:lineRule="auto"/>
        <w:rPr>
          <w:rFonts w:eastAsia="Times New Roman" w:cs="Times New Roman"/>
        </w:rPr>
      </w:pPr>
      <w:r w:rsidRPr="00D405EA">
        <w:rPr>
          <w:rFonts w:eastAsia="Times New Roman" w:cs="Arial"/>
          <w:color w:val="000000"/>
        </w:rPr>
        <w:t>   </w:t>
      </w:r>
    </w:p>
    <w:sectPr w:rsidR="009018BE" w:rsidRPr="001B08A4" w:rsidSect="00152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03F0"/>
    <w:multiLevelType w:val="hybridMultilevel"/>
    <w:tmpl w:val="555634DC"/>
    <w:lvl w:ilvl="0" w:tplc="C74C32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A7BCC"/>
    <w:multiLevelType w:val="hybridMultilevel"/>
    <w:tmpl w:val="A994338C"/>
    <w:lvl w:ilvl="0" w:tplc="1FCC263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47A22"/>
    <w:multiLevelType w:val="hybridMultilevel"/>
    <w:tmpl w:val="A994338C"/>
    <w:lvl w:ilvl="0" w:tplc="1FCC263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9481F"/>
    <w:multiLevelType w:val="hybridMultilevel"/>
    <w:tmpl w:val="FC0AD436"/>
    <w:lvl w:ilvl="0" w:tplc="1FCC2632">
      <w:start w:val="5"/>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E2B4E"/>
    <w:multiLevelType w:val="hybridMultilevel"/>
    <w:tmpl w:val="307A1C2A"/>
    <w:lvl w:ilvl="0" w:tplc="5C28E7C0">
      <w:start w:val="8"/>
      <w:numFmt w:val="bullet"/>
      <w:lvlText w:val="-"/>
      <w:lvlJc w:val="left"/>
      <w:pPr>
        <w:ind w:left="720" w:hanging="36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E2ABE"/>
    <w:multiLevelType w:val="hybridMultilevel"/>
    <w:tmpl w:val="C1DA443A"/>
    <w:lvl w:ilvl="0" w:tplc="A37C356C">
      <w:start w:val="1"/>
      <w:numFmt w:val="decimal"/>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0029F"/>
    <w:multiLevelType w:val="hybridMultilevel"/>
    <w:tmpl w:val="1D06DE40"/>
    <w:lvl w:ilvl="0" w:tplc="1FCC2632">
      <w:start w:val="6"/>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E3B"/>
    <w:rsid w:val="00005E3B"/>
    <w:rsid w:val="000246EF"/>
    <w:rsid w:val="00061AC4"/>
    <w:rsid w:val="00082A97"/>
    <w:rsid w:val="00094840"/>
    <w:rsid w:val="001372FA"/>
    <w:rsid w:val="001528DB"/>
    <w:rsid w:val="001B08A4"/>
    <w:rsid w:val="001E0CB2"/>
    <w:rsid w:val="001E165F"/>
    <w:rsid w:val="001F11A3"/>
    <w:rsid w:val="00240858"/>
    <w:rsid w:val="002B2BD9"/>
    <w:rsid w:val="00323EEC"/>
    <w:rsid w:val="003B6747"/>
    <w:rsid w:val="00467DC5"/>
    <w:rsid w:val="00474E2B"/>
    <w:rsid w:val="00482527"/>
    <w:rsid w:val="004E7304"/>
    <w:rsid w:val="00500CA3"/>
    <w:rsid w:val="005A454C"/>
    <w:rsid w:val="005C2754"/>
    <w:rsid w:val="005C7E4D"/>
    <w:rsid w:val="006D1328"/>
    <w:rsid w:val="006D55F3"/>
    <w:rsid w:val="00704F5D"/>
    <w:rsid w:val="00712C0F"/>
    <w:rsid w:val="007C7C9F"/>
    <w:rsid w:val="007C7FBF"/>
    <w:rsid w:val="008A5F40"/>
    <w:rsid w:val="008B0FFE"/>
    <w:rsid w:val="009018BE"/>
    <w:rsid w:val="009603AF"/>
    <w:rsid w:val="009D0497"/>
    <w:rsid w:val="00A11588"/>
    <w:rsid w:val="00A240A8"/>
    <w:rsid w:val="00A3303B"/>
    <w:rsid w:val="00A73F09"/>
    <w:rsid w:val="00AF2F07"/>
    <w:rsid w:val="00B255D6"/>
    <w:rsid w:val="00B36279"/>
    <w:rsid w:val="00B460BD"/>
    <w:rsid w:val="00B531DB"/>
    <w:rsid w:val="00B613B5"/>
    <w:rsid w:val="00B66FAC"/>
    <w:rsid w:val="00B776F5"/>
    <w:rsid w:val="00BA0640"/>
    <w:rsid w:val="00BB6E67"/>
    <w:rsid w:val="00BD6006"/>
    <w:rsid w:val="00CF19A2"/>
    <w:rsid w:val="00D02301"/>
    <w:rsid w:val="00D10975"/>
    <w:rsid w:val="00D359CE"/>
    <w:rsid w:val="00D405EA"/>
    <w:rsid w:val="00D70297"/>
    <w:rsid w:val="00D72611"/>
    <w:rsid w:val="00DE49DC"/>
    <w:rsid w:val="00E2179B"/>
    <w:rsid w:val="00E21EDF"/>
    <w:rsid w:val="00E540F0"/>
    <w:rsid w:val="00EC3BD0"/>
    <w:rsid w:val="00ED6F5E"/>
    <w:rsid w:val="00F26589"/>
    <w:rsid w:val="00F373BD"/>
    <w:rsid w:val="00F75EAD"/>
    <w:rsid w:val="00FA4985"/>
    <w:rsid w:val="00FB3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37E"/>
    <w:pPr>
      <w:ind w:left="720"/>
      <w:contextualSpacing/>
    </w:pPr>
  </w:style>
  <w:style w:type="paragraph" w:styleId="NormalWeb">
    <w:name w:val="Normal (Web)"/>
    <w:basedOn w:val="Normal"/>
    <w:uiPriority w:val="99"/>
    <w:semiHidden/>
    <w:unhideWhenUsed/>
    <w:rsid w:val="00D405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46EF"/>
    <w:rPr>
      <w:i/>
      <w:iCs/>
    </w:rPr>
  </w:style>
  <w:style w:type="character" w:styleId="Hyperlink">
    <w:name w:val="Hyperlink"/>
    <w:basedOn w:val="DefaultParagraphFont"/>
    <w:uiPriority w:val="99"/>
    <w:unhideWhenUsed/>
    <w:rsid w:val="00BA06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86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1189</Words>
  <Characters>6782</Characters>
  <Application>Microsoft Office Word</Application>
  <DocSecurity>0</DocSecurity>
  <Lines>56</Lines>
  <Paragraphs>15</Paragraphs>
  <ScaleCrop>false</ScaleCrop>
  <Company>SUNY Geneseo</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92</cp:revision>
  <dcterms:created xsi:type="dcterms:W3CDTF">2013-12-07T20:44:00Z</dcterms:created>
  <dcterms:modified xsi:type="dcterms:W3CDTF">2013-12-14T20:25:00Z</dcterms:modified>
</cp:coreProperties>
</file>